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02BEC">
      <w:pPr>
        <w:jc w:val="center"/>
      </w:pPr>
      <w:r>
        <w:rPr>
          <w:rFonts w:ascii="Calibri" w:hAnsi="Calibri" w:eastAsia="微软雅黑"/>
          <w:b/>
          <w:color w:val="2E74B5"/>
          <w:sz w:val="40"/>
        </w:rPr>
        <w:t>客户使用说明</w:t>
      </w:r>
    </w:p>
    <w:p w14:paraId="2447982B">
      <w:pPr>
        <w:spacing w:before="480"/>
        <w:jc w:val="center"/>
      </w:pPr>
      <w:r>
        <w:rPr>
          <w:rFonts w:ascii="Calibri" w:hAnsi="Calibri" w:eastAsia="微软雅黑"/>
          <w:b w:val="0"/>
          <w:color w:val="666666"/>
          <w:sz w:val="24"/>
        </w:rPr>
        <w:t>多用户 Binance 合约策略管理平台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42F33EDF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C5997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客户入口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F7B8B">
            <w:pPr>
              <w:spacing w:before="0" w:after="60" w:line="276" w:lineRule="auto"/>
            </w:pPr>
          </w:p>
        </w:tc>
      </w:tr>
      <w:tr w14:paraId="08C94B33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0EBA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适用范围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560781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Binance USDT 合约账户</w:t>
            </w:r>
          </w:p>
        </w:tc>
      </w:tr>
      <w:tr w14:paraId="7DA66519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3794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文档版本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2F9FD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V1.0</w:t>
            </w:r>
          </w:p>
        </w:tc>
      </w:tr>
      <w:tr w14:paraId="4CB033A0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36EDC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更新日期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1C3D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2026年7月17日</w:t>
            </w:r>
          </w:p>
        </w:tc>
      </w:tr>
    </w:tbl>
    <w:p w14:paraId="451D29E6">
      <w:pPr>
        <w:spacing w:before="560"/>
        <w:jc w:val="center"/>
      </w:pPr>
      <w:r>
        <w:rPr>
          <w:rFonts w:ascii="Calibri" w:hAnsi="Calibri" w:eastAsia="微软雅黑"/>
          <w:b/>
          <w:color w:val="C00000"/>
          <w:sz w:val="22"/>
        </w:rPr>
        <w:t>请在首次使用前完整阅读“API 安全要求”和“风险提示”。</w:t>
      </w:r>
    </w:p>
    <w:p w14:paraId="54FE6814">
      <w:r>
        <w:br w:type="page"/>
      </w:r>
    </w:p>
    <w:p w14:paraId="3C29830F">
      <w:pPr>
        <w:pStyle w:val="3"/>
      </w:pPr>
      <w:r>
        <w:t>目录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8208"/>
      </w:tblGrid>
      <w:tr w14:paraId="5D7FBFCE">
        <w:trPr>
          <w:jc w:val="center"/>
        </w:trPr>
        <w:tc>
          <w:tcPr>
            <w:tcW w:w="115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A3AE85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章节</w:t>
            </w:r>
          </w:p>
        </w:tc>
        <w:tc>
          <w:tcPr>
            <w:tcW w:w="820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BB0E5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内容</w:t>
            </w:r>
          </w:p>
        </w:tc>
      </w:tr>
      <w:tr w14:paraId="3D1E99CF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9096C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1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DCD0B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快速开始</w:t>
            </w:r>
          </w:p>
        </w:tc>
      </w:tr>
      <w:tr w14:paraId="61E35745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6655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2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20DE5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登录后台</w:t>
            </w:r>
          </w:p>
        </w:tc>
      </w:tr>
      <w:tr w14:paraId="7659DCB8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B37B5B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3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76EC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配置 Binance API</w:t>
            </w:r>
          </w:p>
        </w:tc>
      </w:tr>
      <w:tr w14:paraId="44B20695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1D41B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4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A2BA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设置策略参数</w:t>
            </w:r>
          </w:p>
        </w:tc>
      </w:tr>
      <w:tr w14:paraId="1BDC6AC5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6CC0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5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0CE55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配置通知 UID</w:t>
            </w:r>
          </w:p>
        </w:tc>
      </w:tr>
      <w:tr w14:paraId="53347652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2E0C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6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EEFDF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启动、重启与停止策略</w:t>
            </w:r>
          </w:p>
        </w:tc>
      </w:tr>
      <w:tr w14:paraId="06605696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9A7A1C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7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87E6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账户、权益与盈亏统计</w:t>
            </w:r>
          </w:p>
        </w:tc>
      </w:tr>
      <w:tr w14:paraId="42429063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C44C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8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1530D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持仓管理</w:t>
            </w:r>
          </w:p>
        </w:tc>
      </w:tr>
      <w:tr w14:paraId="52052EBA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3D2192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9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7C9F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仓位历史</w:t>
            </w:r>
          </w:p>
        </w:tc>
      </w:tr>
      <w:tr w14:paraId="6E46817D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29B76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10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2210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常见问题</w:t>
            </w:r>
          </w:p>
        </w:tc>
      </w:tr>
      <w:tr w14:paraId="643AF1F5">
        <w:trPr>
          <w:jc w:val="center"/>
        </w:trPr>
        <w:tc>
          <w:tcPr>
            <w:tcW w:w="115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D4AB5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11</w:t>
            </w:r>
          </w:p>
        </w:tc>
        <w:tc>
          <w:tcPr>
            <w:tcW w:w="82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AEF6B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安全与风险提示</w:t>
            </w:r>
          </w:p>
        </w:tc>
      </w:tr>
    </w:tbl>
    <w:p w14:paraId="670E2281">
      <w:r>
        <w:br w:type="page"/>
      </w:r>
    </w:p>
    <w:p w14:paraId="31730DF4">
      <w:pPr>
        <w:pStyle w:val="3"/>
      </w:pPr>
      <w:r>
        <w:t>1. 快速开始</w:t>
      </w: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1DFF6409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7F996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1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1C1EF">
            <w:r>
              <w:rPr>
                <w:rFonts w:ascii="Calibri" w:hAnsi="Calibri" w:eastAsia="微软雅黑"/>
                <w:b/>
                <w:color w:val="1F4D78"/>
                <w:sz w:val="22"/>
              </w:rPr>
              <w:t>获取客户账号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联系平台管理员创建登录账号并获取初始密码。首次登录后请尽快修改密码。</w:t>
            </w:r>
          </w:p>
        </w:tc>
      </w:tr>
    </w:tbl>
    <w:p w14:paraId="2286052D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39AC0A9D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80E9D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2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C1CFD">
            <w:r>
              <w:rPr>
                <w:rFonts w:ascii="Calibri" w:hAnsi="Calibri" w:eastAsia="微软雅黑"/>
                <w:b/>
                <w:color w:val="1F4D78"/>
                <w:sz w:val="22"/>
              </w:rPr>
              <w:t>创建 Binance API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在 Binance 后台创建 API，开启读取和合约交易权限，并关闭提现权限。</w:t>
            </w:r>
          </w:p>
        </w:tc>
      </w:tr>
    </w:tbl>
    <w:p w14:paraId="2E31DB97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5E770887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E16DC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3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F2B40">
            <w:r>
              <w:rPr>
                <w:rFonts w:ascii="Calibri" w:hAnsi="Calibri" w:eastAsia="微软雅黑"/>
                <w:b/>
                <w:color w:val="1F4D78"/>
                <w:sz w:val="22"/>
              </w:rPr>
              <w:t>填写后台配置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登录客户后台，填写 API Key、Secret Key、通知 UID 和三个策略参数。</w:t>
            </w:r>
          </w:p>
        </w:tc>
      </w:tr>
    </w:tbl>
    <w:p w14:paraId="549A1501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742A0062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02087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4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66B0F">
            <w:r>
              <w:rPr>
                <w:rFonts w:ascii="Calibri" w:hAnsi="Calibri" w:eastAsia="微软雅黑"/>
                <w:b/>
                <w:color w:val="1F4D78"/>
                <w:sz w:val="22"/>
              </w:rPr>
              <w:t>核对账户信息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返回首页，确认当前权益、可用余额和当前持仓可以正常读取。</w:t>
            </w:r>
          </w:p>
        </w:tc>
      </w:tr>
    </w:tbl>
    <w:p w14:paraId="3EC01A5E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6959C6AD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0A9AB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5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27535">
            <w:r>
              <w:rPr>
                <w:rFonts w:ascii="Calibri" w:hAnsi="Calibri" w:eastAsia="微软雅黑"/>
                <w:b/>
                <w:color w:val="1F4D78"/>
                <w:sz w:val="22"/>
              </w:rPr>
              <w:t>启动策略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点击“启动策略”，状态显示 active 后，策略开始接收平台统一交易信号。</w:t>
            </w:r>
          </w:p>
        </w:tc>
      </w:tr>
    </w:tbl>
    <w:p w14:paraId="22282DD3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E0045ED">
        <w:trPr>
          <w:jc w:val="center"/>
        </w:trPr>
        <w:tc>
          <w:tcPr>
            <w:tcW w:w="9360" w:type="dxa"/>
            <w:shd w:val="clear" w:color="auto" w:fill="FCE8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D6573F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重要：  </w:t>
            </w:r>
            <w:r>
              <w:rPr>
                <w:rFonts w:ascii="Calibri" w:hAnsi="Calibri" w:eastAsia="微软雅黑"/>
                <w:sz w:val="21"/>
              </w:rPr>
              <w:t>停止策略只停止自动化进程，不会自动平掉已有仓位。</w:t>
            </w:r>
          </w:p>
        </w:tc>
      </w:tr>
    </w:tbl>
    <w:p w14:paraId="3EEACFA7">
      <w:pPr>
        <w:spacing w:after="0"/>
      </w:pPr>
    </w:p>
    <w:p w14:paraId="2A037923">
      <w:pPr>
        <w:pStyle w:val="3"/>
      </w:pPr>
      <w:r>
        <w:t>2. 登录后台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30C613E5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9AA05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项目</w:t>
            </w:r>
          </w:p>
        </w:tc>
        <w:tc>
          <w:tcPr>
            <w:tcW w:w="6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A8B39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说明</w:t>
            </w:r>
          </w:p>
        </w:tc>
      </w:tr>
      <w:tr w14:paraId="3793E317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177C5D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客户入口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2BB73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https://trade.dingpandog.com/</w:t>
            </w:r>
          </w:p>
        </w:tc>
      </w:tr>
      <w:tr w14:paraId="00178635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9673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登录账号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46C9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由平台管理员创建并发放</w:t>
            </w:r>
          </w:p>
        </w:tc>
      </w:tr>
      <w:tr w14:paraId="4A27D295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DD0A2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密码修改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39EF3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登录后进入“API 与策略设置”，在页面下方修改</w:t>
            </w:r>
          </w:p>
        </w:tc>
      </w:tr>
      <w:tr w14:paraId="7F57D6F6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71B03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账号隔离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6CD7A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每个客户只能查看和操作自己的 API、账户、持仓及日志</w:t>
            </w:r>
          </w:p>
        </w:tc>
      </w:tr>
    </w:tbl>
    <w:p w14:paraId="16B1F6D4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不要将登录密码、API Key 或 Secret Key发送给其他人员。</w:t>
      </w:r>
    </w:p>
    <w:p w14:paraId="448A00BD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公共电脑使用结束后，请点击右上角“退出”。</w:t>
      </w:r>
    </w:p>
    <w:p w14:paraId="2DC50521">
      <w:pPr>
        <w:pStyle w:val="3"/>
      </w:pPr>
      <w:r>
        <w:t>3. 配置 Binance API</w:t>
      </w:r>
    </w:p>
    <w:p w14:paraId="00AA1536">
      <w:pPr>
        <w:pStyle w:val="4"/>
      </w:pPr>
      <w:r>
        <w:t>3.1 Binance 权限要求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28C5E70E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6AB11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权限</w:t>
            </w:r>
          </w:p>
        </w:tc>
        <w:tc>
          <w:tcPr>
            <w:tcW w:w="6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6CB39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建议</w:t>
            </w:r>
          </w:p>
        </w:tc>
      </w:tr>
      <w:tr w14:paraId="5B46CAE3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DFAF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读取权限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9473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开启</w:t>
            </w:r>
          </w:p>
        </w:tc>
      </w:tr>
      <w:tr w14:paraId="78603262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1D1EFA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合约交易权限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9415D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开启</w:t>
            </w:r>
          </w:p>
        </w:tc>
      </w:tr>
      <w:tr w14:paraId="7CDC0789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AC9EA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提现权限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1E5D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关闭</w:t>
            </w:r>
          </w:p>
        </w:tc>
      </w:tr>
      <w:tr w14:paraId="70A89948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C202F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资金转出权限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73281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关闭</w:t>
            </w:r>
          </w:p>
        </w:tc>
      </w:tr>
      <w:tr w14:paraId="0EC6DD54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C55A6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授权 IP（IP 白名单）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054C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请在 Binance API 的授权 IP（IP 白名单）中填写：83.229.126.40</w:t>
            </w:r>
          </w:p>
        </w:tc>
      </w:tr>
    </w:tbl>
    <w:p w14:paraId="40069149">
      <w:pPr>
        <w:pStyle w:val="4"/>
      </w:pPr>
      <w:r>
        <w:t>3.2 后台填写</w:t>
      </w:r>
    </w:p>
    <w:p w14:paraId="5502E272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API Key：填写 Binance 创建 API 后显示的 API Key。</w:t>
      </w:r>
    </w:p>
    <w:p w14:paraId="4D041B6B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Secret Key：填写对应 Secret；它与 API Key 是两个不同的值。</w:t>
      </w:r>
    </w:p>
    <w:p w14:paraId="5FC26FBE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保存后，Secret 只以加密形式存储，页面不会显示完整内容。</w:t>
      </w: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BCF87B2">
        <w:trPr>
          <w:jc w:val="center"/>
        </w:trPr>
        <w:tc>
          <w:tcPr>
            <w:tcW w:w="936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EF2EE2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常见错误：  </w:t>
            </w:r>
            <w:r>
              <w:rPr>
                <w:rFonts w:ascii="Calibri" w:hAnsi="Calibri" w:eastAsia="微软雅黑"/>
                <w:sz w:val="21"/>
              </w:rPr>
              <w:t>若出现 “Signature for this request is not valid”，通常是 API Key 与 Secret 填错、写反，或使用了不匹配的一组密钥。</w:t>
            </w:r>
          </w:p>
        </w:tc>
      </w:tr>
    </w:tbl>
    <w:p w14:paraId="0958C93F">
      <w:pPr>
        <w:spacing w:after="0"/>
      </w:pPr>
    </w:p>
    <w:p w14:paraId="46BD858A">
      <w:pPr>
        <w:pStyle w:val="3"/>
      </w:pPr>
      <w:r>
        <w:t>4. 设置策略参数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224"/>
        <w:gridCol w:w="5903"/>
      </w:tblGrid>
      <w:tr w14:paraId="7CF3374B">
        <w:trPr>
          <w:jc w:val="center"/>
        </w:trPr>
        <w:tc>
          <w:tcPr>
            <w:tcW w:w="2232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0DB44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参数</w:t>
            </w:r>
          </w:p>
        </w:tc>
        <w:tc>
          <w:tcPr>
            <w:tcW w:w="1224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9F0A9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默认值</w:t>
            </w:r>
          </w:p>
        </w:tc>
        <w:tc>
          <w:tcPr>
            <w:tcW w:w="5903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564BEA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说明</w:t>
            </w:r>
          </w:p>
        </w:tc>
      </w:tr>
      <w:tr w14:paraId="3A8738CF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AF601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最大补仓次数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8BF1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10</w:t>
            </w:r>
          </w:p>
        </w:tc>
        <w:tc>
          <w:tcPr>
            <w:tcW w:w="59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8C48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允许策略最多执行的补仓次数；0 表示不补仓。</w:t>
            </w:r>
          </w:p>
        </w:tc>
      </w:tr>
      <w:tr w14:paraId="458A02AB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32FB0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补仓倍数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19887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2</w:t>
            </w:r>
          </w:p>
        </w:tc>
        <w:tc>
          <w:tcPr>
            <w:tcW w:w="59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565DD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每次补仓数量相对于当前仓位的倍数。</w:t>
            </w:r>
          </w:p>
        </w:tc>
      </w:tr>
      <w:tr w14:paraId="5559F762">
        <w:trPr>
          <w:jc w:val="center"/>
        </w:trPr>
        <w:tc>
          <w:tcPr>
            <w:tcW w:w="223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95F1C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网格项数 n</w:t>
            </w:r>
          </w:p>
        </w:tc>
        <w:tc>
          <w:tcPr>
            <w:tcW w:w="122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9DED5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5</w:t>
            </w:r>
          </w:p>
        </w:tc>
        <w:tc>
          <w:tcPr>
            <w:tcW w:w="590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FA365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用于计算首仓资金分配的网格项数。</w:t>
            </w:r>
          </w:p>
        </w:tc>
      </w:tr>
    </w:tbl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09A80D09">
        <w:trPr>
          <w:jc w:val="center"/>
        </w:trPr>
        <w:tc>
          <w:tcPr>
            <w:tcW w:w="9360" w:type="dxa"/>
            <w:shd w:val="clear" w:color="auto" w:fill="FFF2C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2D1A7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建议：  </w:t>
            </w:r>
            <w:r>
              <w:rPr>
                <w:rFonts w:ascii="Calibri" w:hAnsi="Calibri" w:eastAsia="微软雅黑"/>
                <w:sz w:val="21"/>
              </w:rPr>
              <w:t>首次使用时保持默认参数。调整补仓次数或补仓倍数会显著改变风险敞口。</w:t>
            </w:r>
          </w:p>
        </w:tc>
      </w:tr>
    </w:tbl>
    <w:p w14:paraId="0FFA4331">
      <w:pPr>
        <w:spacing w:after="0"/>
      </w:pPr>
    </w:p>
    <w:p w14:paraId="61E9349B">
      <w:pPr>
        <w:pStyle w:val="3"/>
      </w:pPr>
      <w:r>
        <w:t>5. 配置通知 UID</w:t>
      </w:r>
    </w:p>
    <w:p w14:paraId="34B85C4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请先关注 WXPusher 通知服务：</w:t>
      </w:r>
    </w:p>
    <w:p w14:paraId="34B85C43">
      <w:pPr>
        <w:pStyle w:val="16"/>
        <w:spacing w:after="80" w:line="300" w:lineRule="auto"/>
        <w:ind w:left="540" w:hanging="271"/>
      </w:pPr>
      <w:hyperlink r:id="rId10">
        <w:r>
          <w:rPr>
            <w:rFonts w:ascii="Calibri" w:hAnsi="Calibri" w:eastAsia="微软雅黑"/>
            <w:sz w:val="22"/>
            <w:color w:val="0563C1"/>
            <w:u w:val="single"/>
          </w:rPr>
          <w:t>https://wxpusher.zjiecode.com/wxuser/?type=1&amp;id=49991#/follow</w:t>
        </w:r>
      </w:hyperlink>
    </w:p>
    <w:p w14:paraId="34B85C4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关注完成后，页面会显示通知 UID（通常为 UID_xxx）。将这个通知 UID 填写到后台对应位置，即可接收策略运行、开仓、平仓和异常通知。</w:t>
      </w:r>
    </w:p>
    <w:p w14:paraId="34B85C4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后台填写自己的 WXPusher 通知 UID，格式通常为 UID_xxx。</w:t>
      </w:r>
    </w:p>
    <w:p w14:paraId="056C147D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WXPusher AppToken 由平台管理员统一配置，普通客户页面不显示该选项。</w:t>
      </w:r>
    </w:p>
    <w:p w14:paraId="46915B8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修改 UID 后，运行中的策略会自动重启并加载新配置；重启会刷新初始权益。</w:t>
      </w: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394454D">
        <w:trPr>
          <w:jc w:val="center"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3865F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收不到通知时：  </w:t>
            </w:r>
            <w:r>
              <w:rPr>
                <w:rFonts w:ascii="Calibri" w:hAnsi="Calibri" w:eastAsia="微软雅黑"/>
                <w:sz w:val="21"/>
              </w:rPr>
              <w:t>先检查 UID 是否完整、是否属于当前微信账号，再联系管理员确认全局 AppToken 状态。</w:t>
            </w:r>
          </w:p>
        </w:tc>
      </w:tr>
    </w:tbl>
    <w:p w14:paraId="29E2B121">
      <w:pPr>
        <w:spacing w:after="0"/>
      </w:pPr>
    </w:p>
    <w:p w14:paraId="75E492CC">
      <w:pPr>
        <w:pStyle w:val="3"/>
      </w:pPr>
      <w:r>
        <w:t>6. 启动、重启与停止策略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816"/>
        <w:gridCol w:w="3816"/>
      </w:tblGrid>
      <w:tr w14:paraId="083B0A90">
        <w:trPr>
          <w:jc w:val="center"/>
        </w:trPr>
        <w:tc>
          <w:tcPr>
            <w:tcW w:w="172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01EE7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操作</w:t>
            </w:r>
          </w:p>
        </w:tc>
        <w:tc>
          <w:tcPr>
            <w:tcW w:w="381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DB97D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作用</w:t>
            </w:r>
          </w:p>
        </w:tc>
        <w:tc>
          <w:tcPr>
            <w:tcW w:w="3816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2807FC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对持仓的影响</w:t>
            </w:r>
          </w:p>
        </w:tc>
      </w:tr>
      <w:tr w14:paraId="75281F1A">
        <w:trPr>
          <w:jc w:val="center"/>
        </w:trPr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D37B1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启动策略</w:t>
            </w:r>
          </w:p>
        </w:tc>
        <w:tc>
          <w:tcPr>
            <w:tcW w:w="381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7917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启动当前客户的独立策略进程</w:t>
            </w:r>
          </w:p>
        </w:tc>
        <w:tc>
          <w:tcPr>
            <w:tcW w:w="381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84D2A4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已有仓位不会自动平仓</w:t>
            </w:r>
          </w:p>
        </w:tc>
      </w:tr>
      <w:tr w14:paraId="0830964C">
        <w:trPr>
          <w:jc w:val="center"/>
        </w:trPr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8B152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重启策略</w:t>
            </w:r>
          </w:p>
        </w:tc>
        <w:tc>
          <w:tcPr>
            <w:tcW w:w="381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6B6F8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重新加载 API、参数和通知配置</w:t>
            </w:r>
          </w:p>
        </w:tc>
        <w:tc>
          <w:tcPr>
            <w:tcW w:w="381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1B84EB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已有仓位仍保留；初始权益重新计算</w:t>
            </w:r>
          </w:p>
        </w:tc>
      </w:tr>
      <w:tr w14:paraId="42DA38A2">
        <w:trPr>
          <w:jc w:val="center"/>
        </w:trPr>
        <w:tc>
          <w:tcPr>
            <w:tcW w:w="172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8A13C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停止策略</w:t>
            </w:r>
          </w:p>
        </w:tc>
        <w:tc>
          <w:tcPr>
            <w:tcW w:w="381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073177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停止接收信号和自动管理</w:t>
            </w:r>
          </w:p>
        </w:tc>
        <w:tc>
          <w:tcPr>
            <w:tcW w:w="381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5FEAA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已有仓位继续留在 Binance，需要人工处理</w:t>
            </w:r>
          </w:p>
        </w:tc>
      </w:tr>
    </w:tbl>
    <w:p w14:paraId="6F5BD62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策略状态显示 active，表示进程正在运行。</w:t>
      </w:r>
    </w:p>
    <w:p w14:paraId="19E08E4C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策略状态显示 inactive，表示策略没有运行。</w:t>
      </w:r>
    </w:p>
    <w:p w14:paraId="18841DD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停止策略前，应先检查当前持仓和挂单。</w:t>
      </w:r>
    </w:p>
    <w:p w14:paraId="79613BF6">
      <w:pPr>
        <w:pStyle w:val="3"/>
      </w:pPr>
      <w:r>
        <w:t>7. 账户、权益与盈亏统计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660"/>
      </w:tblGrid>
      <w:tr w14:paraId="6215AECD">
        <w:trPr>
          <w:jc w:val="center"/>
        </w:trPr>
        <w:tc>
          <w:tcPr>
            <w:tcW w:w="2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A5953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指标</w:t>
            </w:r>
          </w:p>
        </w:tc>
        <w:tc>
          <w:tcPr>
            <w:tcW w:w="66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08A7D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计算或含义</w:t>
            </w:r>
          </w:p>
        </w:tc>
      </w:tr>
      <w:tr w14:paraId="70429611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A403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当前权益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98EE0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钱包余额 + 未实现盈亏</w:t>
            </w:r>
          </w:p>
        </w:tc>
      </w:tr>
      <w:tr w14:paraId="7686E3B5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86E53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初始权益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9572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本次策略启动或重启时记录的当前权益</w:t>
            </w:r>
          </w:p>
        </w:tc>
      </w:tr>
      <w:tr w14:paraId="754D5798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B77F1">
            <w:pPr>
              <w:spacing w:before="0" w:after="60" w:line="276" w:lineRule="auto"/>
            </w:pPr>
            <w:bookmarkStart w:id="0" w:name="_GoBack"/>
            <w:bookmarkEnd w:id="0"/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5B876">
            <w:pPr>
              <w:spacing w:before="0" w:after="60" w:line="276" w:lineRule="auto"/>
            </w:pPr>
          </w:p>
        </w:tc>
      </w:tr>
      <w:tr w14:paraId="59D3AD17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46609">
            <w:pPr>
              <w:spacing w:before="0" w:after="60" w:line="276" w:lineRule="auto"/>
            </w:pP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D7B96">
            <w:pPr>
              <w:spacing w:before="0" w:after="60" w:line="276" w:lineRule="auto"/>
            </w:pPr>
          </w:p>
        </w:tc>
      </w:tr>
      <w:tr w14:paraId="52C162BB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8A462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策略运行时间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8F207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从本次策略启动或重启开始累计</w:t>
            </w:r>
          </w:p>
        </w:tc>
      </w:tr>
      <w:tr w14:paraId="6A9039CA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B088F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可用余额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1BF2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当前可用于交易的 USDT 余额</w:t>
            </w:r>
          </w:p>
        </w:tc>
      </w:tr>
      <w:tr w14:paraId="0401EAA2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E1172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已用保证金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D14F2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当前持仓占用的保证金</w:t>
            </w:r>
          </w:p>
        </w:tc>
      </w:tr>
      <w:tr w14:paraId="2D7454AF">
        <w:trPr>
          <w:jc w:val="center"/>
        </w:trPr>
        <w:tc>
          <w:tcPr>
            <w:tcW w:w="2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1EE77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未实现盈亏</w:t>
            </w:r>
          </w:p>
        </w:tc>
        <w:tc>
          <w:tcPr>
            <w:tcW w:w="666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A9CEC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仍在持仓中的浮动盈亏</w:t>
            </w:r>
          </w:p>
        </w:tc>
      </w:tr>
    </w:tbl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D2768A9">
        <w:trPr>
          <w:jc w:val="center"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6363B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统计重置规则：  </w:t>
            </w:r>
            <w:r>
              <w:rPr>
                <w:rFonts w:ascii="Calibri" w:hAnsi="Calibri" w:eastAsia="微软雅黑"/>
                <w:sz w:val="21"/>
              </w:rPr>
              <w:t>每次启动、手动重启或服务自动重启时，系统都会刷新初始权益，策略盈亏从新的基准重新统计。</w:t>
            </w:r>
          </w:p>
        </w:tc>
      </w:tr>
    </w:tbl>
    <w:p w14:paraId="4FFCCDD2">
      <w:pPr>
        <w:spacing w:after="0"/>
      </w:pPr>
    </w:p>
    <w:p w14:paraId="2A6FBC22">
      <w:pPr>
        <w:pStyle w:val="3"/>
      </w:pPr>
      <w:r>
        <w:t>8. 持仓管理</w:t>
      </w:r>
    </w:p>
    <w:p w14:paraId="38D30F78">
      <w:pPr>
        <w:pStyle w:val="4"/>
      </w:pPr>
      <w:r>
        <w:t>8.1 当前持仓信息</w:t>
      </w:r>
    </w:p>
    <w:p w14:paraId="0C8843B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交易对、方向、持仓数量、开仓价和标记价。</w:t>
      </w:r>
    </w:p>
    <w:p w14:paraId="27DF6CDD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未实现盈亏、收益率、杠杆和强平价格。</w:t>
      </w:r>
    </w:p>
    <w:p w14:paraId="41CAF37B">
      <w:pPr>
        <w:pStyle w:val="4"/>
      </w:pPr>
      <w:r>
        <w:t>8.2 手动平仓</w:t>
      </w: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26D8B5E4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8EE24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1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7165D">
            <w:r>
              <w:rPr>
                <w:rFonts w:ascii="Calibri" w:hAnsi="Calibri" w:eastAsia="微软雅黑"/>
                <w:b/>
                <w:color w:val="1F4D78"/>
                <w:sz w:val="22"/>
              </w:rPr>
              <w:t>确认仓位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核对交易对、方向和数量。</w:t>
            </w:r>
          </w:p>
        </w:tc>
      </w:tr>
    </w:tbl>
    <w:p w14:paraId="3AAE8D22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6E412045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6E932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2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0C7E87">
            <w:r>
              <w:rPr>
                <w:rFonts w:ascii="Calibri" w:hAnsi="Calibri" w:eastAsia="微软雅黑"/>
                <w:b/>
                <w:color w:val="1F4D78"/>
                <w:sz w:val="22"/>
              </w:rPr>
              <w:t>点击“平仓”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系统弹出二次确认窗口。</w:t>
            </w:r>
          </w:p>
        </w:tc>
      </w:tr>
    </w:tbl>
    <w:p w14:paraId="560C3FF4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568"/>
      </w:tblGrid>
      <w:tr w14:paraId="06648E19">
        <w:trPr>
          <w:jc w:val="center"/>
        </w:trPr>
        <w:tc>
          <w:tcPr>
            <w:tcW w:w="792" w:type="dxa"/>
            <w:shd w:val="clear" w:color="auto" w:fill="2E74B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1F07D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8"/>
              </w:rPr>
              <w:t>3</w:t>
            </w:r>
          </w:p>
        </w:tc>
        <w:tc>
          <w:tcPr>
            <w:tcW w:w="8568" w:type="dxa"/>
            <w:shd w:val="clear" w:color="auto" w:fill="F4F7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E68FE7">
            <w:r>
              <w:rPr>
                <w:rFonts w:ascii="Calibri" w:hAnsi="Calibri" w:eastAsia="微软雅黑"/>
                <w:b/>
                <w:color w:val="1F4D78"/>
                <w:sz w:val="22"/>
              </w:rPr>
              <w:t>确认操作</w:t>
            </w:r>
            <w:r>
              <w:rPr>
                <w:rFonts w:ascii="Calibri" w:hAnsi="Calibri" w:eastAsia="微软雅黑"/>
                <w:b/>
                <w:color w:val="1F4D78"/>
                <w:sz w:val="22"/>
              </w:rPr>
              <w:br w:type="textWrapping"/>
            </w:r>
            <w:r>
              <w:rPr>
                <w:rFonts w:ascii="Calibri" w:hAnsi="Calibri" w:eastAsia="微软雅黑"/>
                <w:sz w:val="21"/>
              </w:rPr>
              <w:t>后台向 Binance 提交市价平仓指令。</w:t>
            </w:r>
          </w:p>
        </w:tc>
      </w:tr>
    </w:tbl>
    <w:p w14:paraId="30532784">
      <w:pPr>
        <w:spacing w:after="20"/>
      </w:pP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040B62A">
        <w:trPr>
          <w:jc w:val="center"/>
        </w:trPr>
        <w:tc>
          <w:tcPr>
            <w:tcW w:w="9360" w:type="dxa"/>
            <w:shd w:val="clear" w:color="auto" w:fill="FCE8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88074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注意：  </w:t>
            </w:r>
            <w:r>
              <w:rPr>
                <w:rFonts w:ascii="Calibri" w:hAnsi="Calibri" w:eastAsia="微软雅黑"/>
                <w:sz w:val="21"/>
              </w:rPr>
              <w:t>市价平仓可能产生滑点。提交后请刷新页面，确认仓位已归零。</w:t>
            </w:r>
          </w:p>
        </w:tc>
      </w:tr>
    </w:tbl>
    <w:p w14:paraId="02FB2DE6">
      <w:pPr>
        <w:spacing w:after="0"/>
      </w:pPr>
    </w:p>
    <w:p w14:paraId="0F76CDB0">
      <w:pPr>
        <w:pStyle w:val="4"/>
      </w:pPr>
      <w:r>
        <w:t>8.3 撤销挂单</w:t>
      </w:r>
    </w:p>
    <w:p w14:paraId="24DCE0BC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点击持仓右侧“撤单”，可撤销该交易对的全部未成交挂单。</w:t>
      </w:r>
    </w:p>
    <w:p w14:paraId="290B4081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撤单不等于平仓，已有仓位仍然存在。</w:t>
      </w:r>
    </w:p>
    <w:p w14:paraId="32BB05E6">
      <w:pPr>
        <w:pStyle w:val="3"/>
      </w:pPr>
      <w:r>
        <w:t>9. 仓位历史</w:t>
      </w:r>
    </w:p>
    <w:p w14:paraId="36714DAA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后台只显示最近 10 条 Binance 合约已实现盈亏记录。</w:t>
      </w:r>
    </w:p>
    <w:p w14:paraId="60682CB0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包括时间、交易对、已实现盈亏、手续费、结算资产和流水号。</w:t>
      </w:r>
    </w:p>
    <w:p w14:paraId="5D14F2CD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历史记录来自 Binance，短暂网络延迟时可点击“刷新历史”。</w:t>
      </w:r>
    </w:p>
    <w:p w14:paraId="675B61AF">
      <w:pPr>
        <w:pStyle w:val="3"/>
      </w:pPr>
      <w:r>
        <w:t>10. 常见问题</w:t>
      </w:r>
    </w:p>
    <w:tbl>
      <w:tblPr>
        <w:tblStyle w:val="33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1"/>
        <w:gridCol w:w="6408"/>
      </w:tblGrid>
      <w:tr w14:paraId="30258699">
        <w:trPr>
          <w:jc w:val="center"/>
        </w:trPr>
        <w:tc>
          <w:tcPr>
            <w:tcW w:w="2951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6414C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问题</w:t>
            </w:r>
          </w:p>
        </w:tc>
        <w:tc>
          <w:tcPr>
            <w:tcW w:w="640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9F6F8">
            <w:pPr>
              <w:spacing w:before="0" w:after="60" w:line="276" w:lineRule="auto"/>
            </w:pPr>
            <w:r>
              <w:rPr>
                <w:rFonts w:ascii="Calibri" w:hAnsi="Calibri" w:eastAsia="微软雅黑"/>
                <w:b/>
                <w:color w:val="1F4D78"/>
                <w:sz w:val="20"/>
              </w:rPr>
              <w:t>处理方法</w:t>
            </w:r>
          </w:p>
        </w:tc>
      </w:tr>
      <w:tr w14:paraId="642637F1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180BF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登录后立即返回登录页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936BF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清除浏览器缓存和 Cookie，重新登录；仍有问题时联系管理员重置密码。</w:t>
            </w:r>
          </w:p>
        </w:tc>
      </w:tr>
      <w:tr w14:paraId="33CDF365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83EBB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账户数据读取失败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2B6CD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检查 API 权限、Secret、IP 白名单和 Binance 账户状态。</w:t>
            </w:r>
          </w:p>
        </w:tc>
      </w:tr>
      <w:tr w14:paraId="2460B801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92ABC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策略显示 inactive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421E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先保存 API 配置，再点击启动；查看运行日志中的错误提示。</w:t>
            </w:r>
          </w:p>
        </w:tc>
      </w:tr>
      <w:tr w14:paraId="47F7DAB5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0ADA7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签名错误 -1022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48E8C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API Key 与 Secret 不匹配，重新创建并分别填写。</w:t>
            </w:r>
          </w:p>
        </w:tc>
      </w:tr>
      <w:tr w14:paraId="238764F1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D8576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没有收到通知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F9295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检查通知 UID，并让管理员确认全局 AppToken。</w:t>
            </w:r>
          </w:p>
        </w:tc>
      </w:tr>
      <w:tr w14:paraId="0C1A6C3B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6779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仓位历史一直读取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AD949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强制刷新页面：Mac 使用 Command + Shift + R。</w:t>
            </w:r>
          </w:p>
        </w:tc>
      </w:tr>
      <w:tr w14:paraId="3E32A852">
        <w:trPr>
          <w:jc w:val="center"/>
        </w:trPr>
        <w:tc>
          <w:tcPr>
            <w:tcW w:w="295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56C35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停止后仓位仍存在</w:t>
            </w:r>
          </w:p>
        </w:tc>
        <w:tc>
          <w:tcPr>
            <w:tcW w:w="640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88E5E">
            <w:pPr>
              <w:spacing w:before="0" w:after="60" w:line="276" w:lineRule="auto"/>
            </w:pPr>
            <w:r>
              <w:rPr>
                <w:rFonts w:ascii="Calibri" w:hAnsi="Calibri" w:eastAsia="微软雅黑"/>
                <w:b w:val="0"/>
                <w:sz w:val="20"/>
              </w:rPr>
              <w:t>属于正常行为；停止策略不等于平仓，需要在持仓页面人工处理。</w:t>
            </w:r>
          </w:p>
        </w:tc>
      </w:tr>
    </w:tbl>
    <w:p w14:paraId="3F87066B">
      <w:pPr>
        <w:pStyle w:val="3"/>
      </w:pPr>
      <w:r>
        <w:t>11. 安全与风险提示</w:t>
      </w:r>
    </w:p>
    <w:p w14:paraId="0D0730C3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合约交易具有高风险，杠杆会同时放大盈利和亏损。</w:t>
      </w:r>
    </w:p>
    <w:p w14:paraId="56BB818C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策略历史表现不代表未来收益，平台不承诺盈利。</w:t>
      </w:r>
    </w:p>
    <w:p w14:paraId="54EF7FCA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Binance API 必须关闭提现和资金转出权限。</w:t>
      </w:r>
    </w:p>
    <w:p w14:paraId="2561F188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请定期更换后台密码，并在 Binance 检查 API 登录和交易记录。</w:t>
      </w:r>
    </w:p>
    <w:p w14:paraId="4267FDA1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发现异常持仓、异常信号或异常通知时，先停止策略，再检查账户和日志。</w:t>
      </w:r>
    </w:p>
    <w:p w14:paraId="4B32E578">
      <w:pPr>
        <w:pStyle w:val="16"/>
        <w:spacing w:after="80" w:line="300" w:lineRule="auto"/>
        <w:ind w:left="540" w:hanging="271"/>
      </w:pPr>
      <w:r>
        <w:rPr>
          <w:rFonts w:ascii="Calibri" w:hAnsi="Calibri" w:eastAsia="微软雅黑"/>
          <w:sz w:val="22"/>
        </w:rPr>
        <w:t>停止策略不会自动平仓；必要时请在 Binance 官方客户端直接处理。</w:t>
      </w:r>
    </w:p>
    <w:tbl>
      <w:tblPr>
        <w:tblStyle w:val="32"/>
        <w:tblW w:w="93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0ECBB09">
        <w:trPr>
          <w:jc w:val="center"/>
        </w:trPr>
        <w:tc>
          <w:tcPr>
            <w:tcW w:w="9360" w:type="dxa"/>
            <w:shd w:val="clear" w:color="auto" w:fill="FCE8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7E6CC">
            <w:pPr>
              <w:spacing w:after="60"/>
            </w:pPr>
            <w:r>
              <w:rPr>
                <w:rFonts w:ascii="Calibri" w:hAnsi="Calibri" w:eastAsia="微软雅黑"/>
                <w:b/>
                <w:color w:val="1F4D78"/>
                <w:sz w:val="21"/>
              </w:rPr>
              <w:t xml:space="preserve">使用即表示：  </w:t>
            </w:r>
            <w:r>
              <w:rPr>
                <w:rFonts w:ascii="Calibri" w:hAnsi="Calibri" w:eastAsia="微软雅黑"/>
                <w:sz w:val="21"/>
              </w:rPr>
              <w:t>客户已理解自动化合约交易的波动、杠杆、滑点、网络和平台接口风险，并自行承担交易结果。</w:t>
            </w:r>
          </w:p>
        </w:tc>
      </w:tr>
    </w:tbl>
    <w:p w14:paraId="16611773">
      <w:pPr>
        <w:spacing w:after="0"/>
      </w:pPr>
    </w:p>
    <w:p w14:paraId="193316CC">
      <w:pPr>
        <w:spacing w:before="360"/>
        <w:jc w:val="center"/>
      </w:pPr>
      <w:r>
        <w:rPr>
          <w:rFonts w:ascii="Calibri" w:hAnsi="Calibri" w:eastAsia="微软雅黑"/>
          <w:b w:val="0"/>
          <w:color w:val="666666"/>
          <w:sz w:val="20"/>
        </w:rPr>
        <w:t>— 文档结束 —</w:t>
      </w:r>
    </w:p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E9218">
    <w:pPr>
      <w:pStyle w:val="24"/>
      <w:jc w:val="right"/>
    </w:pPr>
    <w:r>
      <w:rPr>
        <w:rFonts w:ascii="Calibri" w:hAnsi="Calibri" w:eastAsia="微软雅黑"/>
        <w:color w:val="666666"/>
        <w:sz w:val="18"/>
      </w:rP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微软雅黑"/>
        <w:color w:val="666666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F6236">
    <w:pPr>
      <w:pStyle w:val="25"/>
      <w:jc w:val="right"/>
    </w:pPr>
    <w:r>
      <w:rPr>
        <w:rFonts w:ascii="Calibri" w:hAnsi="Calibri" w:eastAsia="微软雅黑"/>
        <w:b w:val="0"/>
        <w:color w:val="666666"/>
        <w:sz w:val="18"/>
      </w:rPr>
      <w:t>盯盘狗网格马丁后台 · 客户使用说明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mU2YWJiOTZkZWYyMzI2YzU3YjM3ZDYwYjVlMzk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C9DFA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20" w:line="300" w:lineRule="auto"/>
    </w:pPr>
    <w:rPr>
      <w:rFonts w:ascii="Calibri" w:hAnsi="Calibri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200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80" w:after="140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100"/>
      <w:outlineLvl w:val="2"/>
    </w:pPr>
    <w:rPr>
      <w:rFonts w:asciiTheme="majorHAnsi" w:hAnsiTheme="majorHAnsi" w:eastAsiaTheme="majorEastAsia" w:cstheme="majorBidi"/>
      <w:b/>
      <w:bCs/>
      <w:color w:val="1F4D78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hyperlink" Target="https://wxpusher.zjiecode.com/wxuser/?type=1&amp;id=49991#/foll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Mac</cp:lastModifiedBy>
  <dcterms:modified xsi:type="dcterms:W3CDTF">2026-07-17T20:26:15Z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EF19A6E8D2273F65671F5A6AC36EB074_42</vt:lpwstr>
  </property>
</Properties>
</file>